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RONPA0438ZPB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Teșila</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b23bpioofm8k" w:id="0"/>
      <w:bookmarkEnd w:id="0"/>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54,89</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91,52%</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rHeight w:val="21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Giurgiu</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54,89</w:t>
      </w: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RONPA0438 Teșila.</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91I0* Păduri stepice euro-siberiene de Quercus spp.</w:t>
            </w:r>
          </w:p>
          <w:p w:rsidR="00000000" w:rsidDel="00000000" w:rsidP="00000000" w:rsidRDefault="00000000" w:rsidRPr="00000000" w14:paraId="00000080">
            <w:pPr>
              <w:spacing w:after="0" w:lineRule="auto"/>
              <w:jc w:val="both"/>
              <w:rPr>
                <w:i w:val="1"/>
                <w:iCs w:val="1"/>
              </w:rPr>
            </w:pPr>
            <w:r w:rsidDel="00000000" w:rsidR="00000000" w:rsidRPr="00000000">
              <w:rPr>
                <w:i w:val="1"/>
                <w:iCs w:val="1"/>
                <w:sz w:val="22"/>
                <w:szCs w:val="22"/>
                <w:rtl w:val="0"/>
              </w:rPr>
              <w:t xml:space="preserve">91M0 Păduri balcano-panonice de cer şi gorun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3">
            <w:pPr>
              <w:spacing w:after="0" w:lineRule="auto"/>
              <w:jc w:val="both"/>
              <w:rPr/>
            </w:pPr>
            <w:r w:rsidDel="00000000" w:rsidR="00000000" w:rsidRPr="00000000">
              <w:rPr>
                <w:i w:val="1"/>
                <w:iCs w:val="1"/>
                <w:sz w:val="22"/>
                <w:szCs w:val="22"/>
                <w:rtl w:val="0"/>
              </w:rPr>
              <w:t xml:space="preserve">Paeonia peregrina var. romanica (bujor românesc)</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pPr>
            <w:r w:rsidDel="00000000" w:rsidR="00000000" w:rsidRPr="00000000">
              <w:rPr>
                <w:sz w:val="22"/>
                <w:szCs w:val="22"/>
                <w:rtl w:val="0"/>
              </w:rPr>
              <w:t xml:space="preserve">Zonă de non intervenție pentru ecosisteme forestiere de tipul 1 funcțional, cu rezervație naturală, care cuprinde habitate de păduri temperat europene, precum și specii de plante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A">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C">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2">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7">
            <w:pPr>
              <w:spacing w:after="0" w:lineRule="auto"/>
              <w:jc w:val="both"/>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București</w:t>
      </w:r>
    </w:p>
    <w:p w:rsidR="00000000" w:rsidDel="00000000" w:rsidP="00000000" w:rsidRDefault="00000000" w:rsidRPr="00000000" w14:paraId="0000009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Beldie, A. 1977. Ecologie forestieră: (cu elemente de ecologie generală). Ed. Ceres</w:t>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OLTEAN M., G. NEGREAN, A. POPESCU, N. ROMAN, G. DIHORU, V. SANDA, S., MIHĂILESCU, 1994, Lista Roșie a plantelor superioare din România, Academia Română – Institutul de Biologie București</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Donita N., Popescu A., Pauca-Comanescu M., Mihailescu S., Biris I. 2005. Habitatele din Romania”, Ed. Tehnica Silvica, București</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Mountford J.O. 2008. Manual de interpretare a habitatelor Natura 2000 din Romania, Ed. RISOPRINT, editor M.M.D.D. </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28 ianuarie 2025 – Giurgiu, 12 noiembrie 2024 – corespondență DS Giurgiu.</w:t>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12 decembrie 2025 cu participarea factorilor interesați relevanți județului Giurgiu. De asemenea au avut loc consultări fizice cu participarea factorilor interesați relevanți după cum urmează: În 18 decembrie 2025 au avut loc consultări la prefectura Giurgiu.</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9">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A">
      <w:pPr>
        <w:rPr>
          <w:sz w:val="22"/>
          <w:szCs w:val="22"/>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AB">
      <w:pPr>
        <w:jc w:val="cente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gw08Mi1FaGX8UZPi3oZ6j1gKjA==">CgMxLjAyDmguYjIzYnBpb29mbThrOAByITFIcGlidmxHaG5Sd2NGekdoNk4xQktsVnRUTHRVWW1uMg==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